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54" w:lineRule="auto"/>
        <w:rPr/>
      </w:pPr>
      <w:r>
        <w:pict>
          <v:shape id="_x0000_s2" style="position:absolute;margin-left:89.8385pt;margin-top:166.051pt;mso-position-vertical-relative:page;mso-position-horizontal-relative:page;width:330.35pt;height:118.65pt;z-index:25166028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07" w:lineRule="auto"/>
                    <w:outlineLvl w:val="0"/>
                    <w:jc w:val="right"/>
                    <w:rPr>
                      <w:rFonts w:ascii="Microsoft YaHei" w:hAnsi="Microsoft YaHei" w:eastAsia="Microsoft YaHei" w:cs="Microsoft YaHei"/>
                      <w:sz w:val="72"/>
                      <w:szCs w:val="72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72"/>
                      <w:szCs w:val="72"/>
                      <w:color w:val="FF0000"/>
                      <w:spacing w:val="9"/>
                    </w:rPr>
                    <w:t>舟山市定海区财政局</w:t>
                  </w:r>
                </w:p>
                <w:p>
                  <w:pPr>
                    <w:spacing w:before="201" w:line="1066" w:lineRule="exact"/>
                    <w:jc w:val="right"/>
                    <w:rPr>
                      <w:rFonts w:ascii="Microsoft YaHei" w:hAnsi="Microsoft YaHei" w:eastAsia="Microsoft YaHei" w:cs="Microsoft YaHei"/>
                      <w:sz w:val="59"/>
                      <w:szCs w:val="5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59"/>
                      <w:szCs w:val="59"/>
                      <w:color w:val="FF0000"/>
                      <w:spacing w:val="6"/>
                      <w:position w:val="11"/>
                    </w:rPr>
                    <w:t>舟山市定海区科学技术局</w:t>
                  </w:r>
                </w:p>
              </w:txbxContent>
            </v:textbox>
          </v:shape>
        </w:pict>
      </w: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ind w:left="5880"/>
        <w:spacing w:before="101" w:line="18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</w:rPr>
        <w:t>LDHD</w:t>
      </w:r>
      <w:r>
        <w:rPr>
          <w:rFonts w:ascii="FangSong" w:hAnsi="FangSong" w:eastAsia="FangSong" w:cs="FangSong"/>
          <w:sz w:val="31"/>
          <w:szCs w:val="31"/>
          <w:spacing w:val="5"/>
        </w:rPr>
        <w:t>12-2024-0001</w:t>
      </w:r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tbl>
      <w:tblPr>
        <w:tblStyle w:val="TableNormal"/>
        <w:tblW w:w="1691" w:type="dxa"/>
        <w:tblInd w:w="6825" w:type="dxa"/>
        <w:tblLayout w:type="fixed"/>
        <w:tblBorders>
          <w:left w:val="single" w:color="FFFFFF" w:sz="4" w:space="0"/>
          <w:bottom w:val="single" w:color="FFFFFF" w:sz="4" w:space="0"/>
          <w:right w:val="single" w:color="FFFFFF" w:sz="4" w:space="0"/>
          <w:top w:val="single" w:color="FFFFFF" w:sz="4" w:space="0"/>
        </w:tblBorders>
      </w:tblPr>
      <w:tblGrid>
        <w:gridCol w:w="1691"/>
      </w:tblGrid>
      <w:tr>
        <w:trPr>
          <w:trHeight w:val="1470" w:hRule="atLeast"/>
        </w:trPr>
        <w:tc>
          <w:tcPr>
            <w:tcW w:w="1691" w:type="dxa"/>
            <w:vAlign w:val="top"/>
          </w:tcPr>
          <w:p>
            <w:pPr>
              <w:spacing w:before="97" w:line="217" w:lineRule="auto"/>
              <w:jc w:val="right"/>
              <w:rPr>
                <w:rFonts w:ascii="SimSun" w:hAnsi="SimSun" w:eastAsia="SimSun" w:cs="SimSun"/>
                <w:sz w:val="91"/>
                <w:szCs w:val="91"/>
              </w:rPr>
            </w:pPr>
            <w:r>
              <w:rPr>
                <w:rFonts w:ascii="SimSun" w:hAnsi="SimSun" w:eastAsia="SimSun" w:cs="SimSun"/>
                <w:sz w:val="91"/>
                <w:szCs w:val="91"/>
                <w:color w:val="FF0000"/>
                <w14:textOutline w14:w="15875" w14:cap="flat" w14:cmpd="sng">
                  <w14:solidFill>
                    <w14:srgbClr w14:val="FF0000"/>
                  </w14:solidFill>
                  <w14:prstDash w14:val="solid"/>
                  <w14:miter w14:lim="0"/>
                </w14:textOutline>
                <w:spacing w:val="-82"/>
                <w:w w:val="83"/>
              </w:rPr>
              <w:t>文</w:t>
            </w:r>
            <w:r>
              <w:rPr>
                <w:rFonts w:ascii="SimSun" w:hAnsi="SimSun" w:eastAsia="SimSun" w:cs="SimSun"/>
                <w:sz w:val="91"/>
                <w:szCs w:val="91"/>
                <w:color w:val="FF0000"/>
                <w14:textOutline w14:w="15875" w14:cap="flat" w14:cmpd="sng">
                  <w14:solidFill>
                    <w14:srgbClr w14:val="FF0000"/>
                  </w14:solidFill>
                  <w14:prstDash w14:val="solid"/>
                  <w14:miter w14:lim="0"/>
                </w14:textOutline>
                <w:spacing w:val="-40"/>
                <w:w w:val="83"/>
              </w:rPr>
              <w:t>件</w:t>
            </w:r>
          </w:p>
        </w:tc>
      </w:tr>
    </w:tbl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ind w:left="2844"/>
        <w:spacing w:before="101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定财企〔2024〕4</w:t>
      </w:r>
      <w:r>
        <w:rPr>
          <w:rFonts w:ascii="FangSong" w:hAnsi="FangSong" w:eastAsia="FangSong" w:cs="FangSong"/>
          <w:sz w:val="31"/>
          <w:szCs w:val="31"/>
          <w:spacing w:val="-4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号</w:t>
      </w:r>
    </w:p>
    <w:p>
      <w:pPr>
        <w:spacing w:line="63" w:lineRule="exact"/>
        <w:rPr/>
      </w:pPr>
      <w:r/>
    </w:p>
    <w:tbl>
      <w:tblPr>
        <w:tblStyle w:val="TableNormal"/>
        <w:tblW w:w="8560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3947"/>
        <w:gridCol w:w="581"/>
        <w:gridCol w:w="4032"/>
      </w:tblGrid>
      <w:tr>
        <w:trPr>
          <w:trHeight w:val="5610" w:hRule="atLeast"/>
        </w:trPr>
        <w:tc>
          <w:tcPr>
            <w:tcW w:w="8560" w:type="dxa"/>
            <w:vAlign w:val="top"/>
            <w:gridSpan w:val="3"/>
            <w:tcBorders>
              <w:top w:val="single" w:color="FF0000" w:sz="18" w:space="0"/>
            </w:tcBorders>
          </w:tcPr>
          <w:p>
            <w:pPr>
              <w:spacing w:line="459" w:lineRule="auto"/>
              <w:rPr>
                <w:rFonts w:ascii="Arial"/>
                <w:sz w:val="21"/>
              </w:rPr>
            </w:pPr>
            <w:r/>
          </w:p>
          <w:p>
            <w:pPr>
              <w:ind w:left="318"/>
              <w:spacing w:before="140"/>
              <w:rPr>
                <w:rFonts w:ascii="SimSun" w:hAnsi="SimSun" w:eastAsia="SimSun" w:cs="SimSun"/>
                <w:sz w:val="43"/>
                <w:szCs w:val="43"/>
              </w:rPr>
            </w:pPr>
            <w:r>
              <w:rPr>
                <w:rFonts w:ascii="SimSun" w:hAnsi="SimSun" w:eastAsia="SimSun" w:cs="SimSun"/>
                <w:sz w:val="43"/>
                <w:szCs w:val="43"/>
                <w14:textOutline w14:w="6350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0"/>
              </w:rPr>
              <w:t>舟山市定海区财政局</w:t>
            </w:r>
            <w:r>
              <w:rPr>
                <w:rFonts w:ascii="SimSun" w:hAnsi="SimSun" w:eastAsia="SimSun" w:cs="SimSun"/>
                <w:sz w:val="43"/>
                <w:szCs w:val="43"/>
                <w:spacing w:val="20"/>
              </w:rPr>
              <w:t xml:space="preserve"> </w:t>
            </w:r>
            <w:r>
              <w:rPr>
                <w:rFonts w:ascii="SimSun" w:hAnsi="SimSun" w:eastAsia="SimSun" w:cs="SimSun"/>
                <w:sz w:val="43"/>
                <w:szCs w:val="43"/>
                <w14:textOutline w14:w="6350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0"/>
              </w:rPr>
              <w:t>舟山市定海区科学</w:t>
            </w:r>
          </w:p>
          <w:p>
            <w:pPr>
              <w:ind w:left="203"/>
              <w:rPr>
                <w:rFonts w:ascii="SimSun" w:hAnsi="SimSun" w:eastAsia="SimSun" w:cs="SimSun"/>
                <w:sz w:val="43"/>
                <w:szCs w:val="43"/>
              </w:rPr>
            </w:pPr>
            <w:r>
              <w:rPr>
                <w:rFonts w:ascii="SimSun" w:hAnsi="SimSun" w:eastAsia="SimSun" w:cs="SimSun"/>
                <w:sz w:val="43"/>
                <w:szCs w:val="43"/>
                <w14:textOutline w14:w="6350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0"/>
              </w:rPr>
              <w:t>技术局关于印发《舟山市定海区科技发展</w:t>
            </w:r>
          </w:p>
          <w:p>
            <w:pPr>
              <w:ind w:left="1105"/>
              <w:spacing w:line="595" w:lineRule="exact"/>
              <w:rPr>
                <w:rFonts w:ascii="SimSun" w:hAnsi="SimSun" w:eastAsia="SimSun" w:cs="SimSun"/>
                <w:sz w:val="43"/>
                <w:szCs w:val="43"/>
              </w:rPr>
            </w:pPr>
            <w:r>
              <w:rPr>
                <w:rFonts w:ascii="SimSun" w:hAnsi="SimSun" w:eastAsia="SimSun" w:cs="SimSun"/>
                <w:sz w:val="43"/>
                <w:szCs w:val="43"/>
                <w14:textOutline w14:w="6350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0"/>
                <w:position w:val="2"/>
              </w:rPr>
              <w:t>专项资金管理暂行办法》的通知</w:t>
            </w:r>
          </w:p>
          <w:p>
            <w:pPr>
              <w:spacing w:line="4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/>
              <w:spacing w:before="101" w:line="221" w:lineRule="auto"/>
              <w:rPr/>
            </w:pPr>
            <w:r>
              <w:rPr>
                <w:spacing w:val="19"/>
              </w:rPr>
              <w:t>各镇人民政府、街道办事处，各有关单位：</w:t>
            </w:r>
          </w:p>
          <w:p>
            <w:pPr>
              <w:pStyle w:val="TableText"/>
              <w:ind w:left="134" w:right="140" w:firstLine="634"/>
              <w:spacing w:before="247" w:line="334" w:lineRule="auto"/>
              <w:jc w:val="both"/>
              <w:rPr/>
            </w:pPr>
            <w:r>
              <w:rPr>
                <w:spacing w:val="8"/>
              </w:rPr>
              <w:t>为进一步规范和加强科技发展专项资金管理，提高财政</w:t>
            </w:r>
            <w:r>
              <w:rPr>
                <w:spacing w:val="17"/>
              </w:rPr>
              <w:t xml:space="preserve"> </w:t>
            </w:r>
            <w:r>
              <w:rPr>
                <w:spacing w:val="8"/>
              </w:rPr>
              <w:t>资金使用绩效，现将《舟山市定海区科技发展专项资金管理</w:t>
            </w:r>
          </w:p>
          <w:p>
            <w:pPr>
              <w:pStyle w:val="TableText"/>
              <w:ind w:left="134"/>
              <w:spacing w:line="220" w:lineRule="auto"/>
              <w:rPr/>
            </w:pPr>
            <w:r>
              <w:rPr>
                <w:spacing w:val="5"/>
              </w:rPr>
              <w:t>暂行办法》印发给你们，请遵照执行。</w:t>
            </w:r>
          </w:p>
        </w:tc>
      </w:tr>
      <w:tr>
        <w:trPr>
          <w:trHeight w:val="2118" w:hRule="atLeast"/>
        </w:trPr>
        <w:tc>
          <w:tcPr>
            <w:tcW w:w="3947" w:type="dxa"/>
            <w:vAlign w:val="top"/>
            <w:tcBorders>
              <w:bottom w:val="single" w:color="000000" w:sz="6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63"/>
              <w:spacing w:before="100" w:line="222" w:lineRule="auto"/>
              <w:rPr/>
            </w:pPr>
            <w: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column">
                    <wp:posOffset>608701</wp:posOffset>
                  </wp:positionH>
                  <wp:positionV relativeFrom="paragraph">
                    <wp:posOffset>-629481</wp:posOffset>
                  </wp:positionV>
                  <wp:extent cx="1461599" cy="1474199"/>
                  <wp:effectExtent l="0" t="0" r="0" b="0"/>
                  <wp:wrapNone/>
                  <wp:docPr id="2" name="IM 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" name="IM 2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1599" cy="1474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9"/>
              </w:rPr>
              <w:t>舟山市定海区财政局</w:t>
            </w:r>
          </w:p>
        </w:tc>
        <w:tc>
          <w:tcPr>
            <w:tcW w:w="4613" w:type="dxa"/>
            <w:vAlign w:val="top"/>
            <w:gridSpan w:val="2"/>
            <w:tcBorders>
              <w:bottom w:val="single" w:color="000000" w:sz="6" w:space="0"/>
            </w:tcBorders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6"/>
              <w:spacing w:before="101" w:line="559" w:lineRule="exact"/>
              <w:rPr/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669156</wp:posOffset>
                  </wp:positionH>
                  <wp:positionV relativeFrom="paragraph">
                    <wp:posOffset>-618558</wp:posOffset>
                  </wp:positionV>
                  <wp:extent cx="1511999" cy="1511999"/>
                  <wp:effectExtent l="0" t="0" r="0" b="0"/>
                  <wp:wrapNone/>
                  <wp:docPr id="4" name="IM 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" name="IM 4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11999" cy="15119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2"/>
                <w:position w:val="18"/>
              </w:rPr>
              <w:t>舟山市定海区科学技术局</w:t>
            </w:r>
          </w:p>
          <w:p>
            <w:pPr>
              <w:pStyle w:val="TableText"/>
              <w:ind w:left="986"/>
              <w:spacing w:line="222" w:lineRule="auto"/>
              <w:rPr/>
            </w:pPr>
            <w:r>
              <w:rPr>
                <w:spacing w:val="-8"/>
              </w:rPr>
              <w:t>2024</w:t>
            </w:r>
            <w:r>
              <w:rPr>
                <w:spacing w:val="-49"/>
              </w:rPr>
              <w:t xml:space="preserve"> </w:t>
            </w:r>
            <w:r>
              <w:rPr>
                <w:spacing w:val="-8"/>
              </w:rPr>
              <w:t>年</w:t>
            </w:r>
            <w:r>
              <w:rPr>
                <w:spacing w:val="-43"/>
              </w:rPr>
              <w:t xml:space="preserve"> </w:t>
            </w:r>
            <w:r>
              <w:rPr>
                <w:spacing w:val="-8"/>
              </w:rPr>
              <w:t>1</w:t>
            </w:r>
            <w:r>
              <w:rPr>
                <w:spacing w:val="-46"/>
              </w:rPr>
              <w:t xml:space="preserve"> </w:t>
            </w:r>
            <w:r>
              <w:rPr>
                <w:spacing w:val="-8"/>
              </w:rPr>
              <w:t>月</w:t>
            </w:r>
            <w:r>
              <w:rPr>
                <w:spacing w:val="-48"/>
              </w:rPr>
              <w:t xml:space="preserve"> </w:t>
            </w:r>
            <w:r>
              <w:rPr>
                <w:spacing w:val="-8"/>
              </w:rPr>
              <w:t>24</w:t>
            </w:r>
            <w:r>
              <w:rPr>
                <w:spacing w:val="-8"/>
              </w:rPr>
              <w:t xml:space="preserve"> </w:t>
            </w:r>
            <w:r>
              <w:rPr>
                <w:spacing w:val="-8"/>
              </w:rPr>
              <w:t>日</w:t>
            </w:r>
          </w:p>
        </w:tc>
      </w:tr>
      <w:tr>
        <w:trPr>
          <w:trHeight w:val="666" w:hRule="atLeast"/>
        </w:trPr>
        <w:tc>
          <w:tcPr>
            <w:tcW w:w="4528" w:type="dxa"/>
            <w:vAlign w:val="top"/>
            <w:gridSpan w:val="2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pStyle w:val="TableText"/>
              <w:ind w:left="122"/>
              <w:spacing w:before="275"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舟山市定海区财政局办公室</w:t>
            </w:r>
          </w:p>
        </w:tc>
        <w:tc>
          <w:tcPr>
            <w:tcW w:w="4032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pStyle w:val="TableText"/>
              <w:ind w:left="1201"/>
              <w:spacing w:before="276"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4"/>
              </w:rPr>
              <w:t>2024</w:t>
            </w:r>
            <w:r>
              <w:rPr>
                <w:sz w:val="28"/>
                <w:szCs w:val="28"/>
                <w:spacing w:val="-58"/>
              </w:rPr>
              <w:t xml:space="preserve"> </w:t>
            </w:r>
            <w:r>
              <w:rPr>
                <w:sz w:val="28"/>
                <w:szCs w:val="28"/>
                <w:spacing w:val="-14"/>
              </w:rPr>
              <w:t>年</w:t>
            </w:r>
            <w:r>
              <w:rPr>
                <w:sz w:val="28"/>
                <w:szCs w:val="28"/>
                <w:spacing w:val="-47"/>
              </w:rPr>
              <w:t xml:space="preserve"> </w:t>
            </w:r>
            <w:r>
              <w:rPr>
                <w:sz w:val="28"/>
                <w:szCs w:val="28"/>
                <w:spacing w:val="-14"/>
              </w:rPr>
              <w:t>1</w:t>
            </w:r>
            <w:r>
              <w:rPr>
                <w:sz w:val="28"/>
                <w:szCs w:val="28"/>
                <w:spacing w:val="-49"/>
              </w:rPr>
              <w:t xml:space="preserve"> </w:t>
            </w:r>
            <w:r>
              <w:rPr>
                <w:sz w:val="28"/>
                <w:szCs w:val="28"/>
                <w:spacing w:val="-14"/>
              </w:rPr>
              <w:t>月</w:t>
            </w:r>
            <w:r>
              <w:rPr>
                <w:sz w:val="28"/>
                <w:szCs w:val="28"/>
                <w:spacing w:val="-53"/>
              </w:rPr>
              <w:t xml:space="preserve"> </w:t>
            </w:r>
            <w:r>
              <w:rPr>
                <w:sz w:val="28"/>
                <w:szCs w:val="28"/>
                <w:spacing w:val="-14"/>
              </w:rPr>
              <w:t>24</w:t>
            </w:r>
            <w:r>
              <w:rPr>
                <w:sz w:val="28"/>
                <w:szCs w:val="28"/>
                <w:spacing w:val="-14"/>
              </w:rPr>
              <w:t xml:space="preserve"> </w:t>
            </w:r>
            <w:r>
              <w:rPr>
                <w:sz w:val="28"/>
                <w:szCs w:val="28"/>
                <w:spacing w:val="-14"/>
              </w:rPr>
              <w:t>日印发</w:t>
            </w:r>
          </w:p>
        </w:tc>
      </w:tr>
    </w:tbl>
    <w:p>
      <w:pPr>
        <w:pStyle w:val="BodyText"/>
        <w:spacing w:line="373" w:lineRule="auto"/>
        <w:rPr/>
      </w:pPr>
      <w:r/>
    </w:p>
    <w:p>
      <w:pPr>
        <w:pStyle w:val="BodyText"/>
        <w:ind w:left="7229"/>
        <w:spacing w:before="80" w:line="195" w:lineRule="auto"/>
        <w:rPr>
          <w:sz w:val="28"/>
          <w:szCs w:val="28"/>
        </w:rPr>
      </w:pPr>
      <w:r>
        <w:rPr>
          <w:sz w:val="28"/>
          <w:szCs w:val="28"/>
          <w:spacing w:val="-12"/>
        </w:rPr>
        <w:t>—</w:t>
      </w:r>
      <w:r>
        <w:rPr>
          <w:sz w:val="28"/>
          <w:szCs w:val="28"/>
          <w:spacing w:val="2"/>
        </w:rPr>
        <w:t xml:space="preserve">  </w:t>
      </w:r>
      <w:r>
        <w:rPr>
          <w:sz w:val="28"/>
          <w:szCs w:val="28"/>
          <w:spacing w:val="-12"/>
        </w:rPr>
        <w:t>1</w:t>
      </w:r>
      <w:r>
        <w:rPr>
          <w:sz w:val="28"/>
          <w:szCs w:val="28"/>
          <w:spacing w:val="63"/>
        </w:rPr>
        <w:t xml:space="preserve"> </w:t>
      </w:r>
      <w:r>
        <w:rPr>
          <w:sz w:val="28"/>
          <w:szCs w:val="28"/>
          <w:spacing w:val="-12"/>
        </w:rPr>
        <w:t>—</w:t>
      </w:r>
    </w:p>
    <w:p>
      <w:pPr>
        <w:spacing w:line="195" w:lineRule="auto"/>
        <w:sectPr>
          <w:headerReference w:type="default" r:id="rId1"/>
          <w:pgSz w:w="11906" w:h="16838"/>
          <w:pgMar w:top="400" w:right="1655" w:bottom="0" w:left="1688" w:header="0" w:footer="0" w:gutter="0"/>
        </w:sectPr>
        <w:rPr>
          <w:sz w:val="28"/>
          <w:szCs w:val="28"/>
        </w:rPr>
      </w:pPr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ind w:left="3292" w:right="647" w:hanging="2631"/>
        <w:spacing w:before="140" w:line="257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9"/>
        </w:rPr>
        <w:t>舟山市定海区科技发展专项资金管理</w:t>
      </w:r>
      <w:r>
        <w:rPr>
          <w:rFonts w:ascii="SimSun" w:hAnsi="SimSun" w:eastAsia="SimSun" w:cs="SimSun"/>
          <w:sz w:val="43"/>
          <w:szCs w:val="43"/>
        </w:rPr>
        <w:t xml:space="preserve"> </w:t>
      </w:r>
      <w:r>
        <w:rPr>
          <w:rFonts w:ascii="SimSun" w:hAnsi="SimSun" w:eastAsia="SimSun" w:cs="SimSun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8"/>
        </w:rPr>
        <w:t>暂行办法</w:t>
      </w:r>
    </w:p>
    <w:p>
      <w:pPr>
        <w:pStyle w:val="BodyText"/>
        <w:spacing w:line="274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ind w:left="3201"/>
        <w:spacing w:before="100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</w:rPr>
        <w:t>第一章</w:t>
      </w:r>
      <w:r>
        <w:rPr>
          <w:rFonts w:ascii="FangSong" w:hAnsi="FangSong" w:eastAsia="FangSong" w:cs="FangSong"/>
          <w:sz w:val="31"/>
          <w:szCs w:val="31"/>
          <w:spacing w:val="42"/>
        </w:rPr>
        <w:t xml:space="preserve">  </w:t>
      </w: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</w:rPr>
        <w:t>总</w:t>
      </w:r>
      <w:r>
        <w:rPr>
          <w:rFonts w:ascii="FangSong" w:hAnsi="FangSong" w:eastAsia="FangSong" w:cs="FangSong"/>
          <w:sz w:val="31"/>
          <w:szCs w:val="31"/>
          <w:spacing w:val="49"/>
        </w:rPr>
        <w:t xml:space="preserve"> </w:t>
      </w: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</w:rPr>
        <w:t>则</w:t>
      </w:r>
    </w:p>
    <w:p>
      <w:pPr>
        <w:ind w:left="16" w:right="6" w:firstLine="662"/>
        <w:spacing w:before="310" w:line="357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15"/>
        </w:rPr>
        <w:t>第一条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5"/>
        </w:rPr>
        <w:t>为进一步规范和加强我区科技发展专项资金管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理，提高财政资金使用绩效，全力推进定海创新发展，根据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2"/>
        </w:rPr>
        <w:t>《舟山市定海区人民政府关于加快科技创新发展的若干意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见》</w:t>
      </w:r>
      <w:r>
        <w:rPr>
          <w:rFonts w:ascii="FangSong" w:hAnsi="FangSong" w:eastAsia="FangSong" w:cs="FangSong"/>
          <w:sz w:val="31"/>
          <w:szCs w:val="31"/>
          <w:spacing w:val="-6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(定政发〔2021〕21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号)</w:t>
      </w:r>
      <w:r>
        <w:rPr>
          <w:rFonts w:ascii="FangSong" w:hAnsi="FangSong" w:eastAsia="FangSong" w:cs="FangSong"/>
          <w:sz w:val="31"/>
          <w:szCs w:val="31"/>
          <w:spacing w:val="4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、《舟山市定海区</w:t>
      </w:r>
      <w:r>
        <w:rPr>
          <w:rFonts w:ascii="FangSong" w:hAnsi="FangSong" w:eastAsia="FangSong" w:cs="FangSong"/>
          <w:sz w:val="31"/>
          <w:szCs w:val="31"/>
          <w:spacing w:val="3"/>
        </w:rPr>
        <w:t>人民政府关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于进一步加快科技创新发展的补充意见》（定政发</w:t>
      </w:r>
      <w:r>
        <w:rPr>
          <w:rFonts w:ascii="FangSong" w:hAnsi="FangSong" w:eastAsia="FangSong" w:cs="FangSong"/>
          <w:sz w:val="31"/>
          <w:szCs w:val="31"/>
          <w:spacing w:val="8"/>
        </w:rPr>
        <w:t>〔2023〕</w:t>
      </w:r>
    </w:p>
    <w:p>
      <w:pPr>
        <w:ind w:left="44"/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6"/>
        </w:rPr>
        <w:t>18</w:t>
      </w:r>
      <w:r>
        <w:rPr>
          <w:rFonts w:ascii="FangSong" w:hAnsi="FangSong" w:eastAsia="FangSong" w:cs="FangSong"/>
          <w:sz w:val="31"/>
          <w:szCs w:val="31"/>
          <w:spacing w:val="-4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号）</w:t>
      </w:r>
      <w:r>
        <w:rPr>
          <w:rFonts w:ascii="FangSong" w:hAnsi="FangSong" w:eastAsia="FangSong" w:cs="FangSong"/>
          <w:sz w:val="31"/>
          <w:szCs w:val="31"/>
          <w:spacing w:val="-4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等规定，制定本办法。</w:t>
      </w:r>
    </w:p>
    <w:p>
      <w:pPr>
        <w:ind w:left="32" w:right="25" w:firstLine="646"/>
        <w:spacing w:before="330" w:line="356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7"/>
        </w:rPr>
        <w:t>第二条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定海区科技发展专项资金(以下简称“专项资金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”)</w:t>
      </w:r>
      <w:r>
        <w:rPr>
          <w:rFonts w:ascii="FangSong" w:hAnsi="FangSong" w:eastAsia="FangSong" w:cs="FangSong"/>
          <w:sz w:val="31"/>
          <w:szCs w:val="31"/>
          <w:spacing w:val="6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由区财政部门统筹安排，用于支持我区开</w:t>
      </w:r>
      <w:r>
        <w:rPr>
          <w:rFonts w:ascii="FangSong" w:hAnsi="FangSong" w:eastAsia="FangSong" w:cs="FangSong"/>
          <w:sz w:val="31"/>
          <w:szCs w:val="31"/>
          <w:spacing w:val="5"/>
        </w:rPr>
        <w:t>展科研攻关活</w:t>
      </w:r>
    </w:p>
    <w:p>
      <w:pPr>
        <w:ind w:left="41"/>
        <w:spacing w:before="1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动、提升科技创新能力、优化科研环境条件等方面。</w:t>
      </w:r>
    </w:p>
    <w:p>
      <w:pPr>
        <w:ind w:left="24" w:right="8" w:firstLine="654"/>
        <w:spacing w:before="228" w:line="357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12"/>
        </w:rPr>
        <w:t>第三条</w:t>
      </w:r>
      <w:r>
        <w:rPr>
          <w:rFonts w:ascii="FangSong" w:hAnsi="FangSong" w:eastAsia="FangSong" w:cs="FangSong"/>
          <w:sz w:val="31"/>
          <w:szCs w:val="31"/>
          <w:spacing w:val="8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区财政部门负责专项资金的预算管理、资金下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达、审核资金分配方案、监督检查，并视情开展项目绩效评</w:t>
      </w:r>
    </w:p>
    <w:p>
      <w:pPr>
        <w:ind w:left="24"/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"/>
        </w:rPr>
        <w:t>价等工作。</w:t>
      </w:r>
    </w:p>
    <w:p>
      <w:pPr>
        <w:ind w:left="28" w:right="11" w:firstLine="678"/>
        <w:spacing w:before="232" w:line="357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区科技部门负责根据区委、</w:t>
      </w:r>
      <w:r>
        <w:rPr>
          <w:rFonts w:ascii="FangSong" w:hAnsi="FangSong" w:eastAsia="FangSong" w:cs="FangSong"/>
          <w:sz w:val="31"/>
          <w:szCs w:val="31"/>
          <w:spacing w:val="-7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区政府有关科技发展规划和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重点工作任务，提出专项资金年度预算需求及分配建议，做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好科技项目组织管理、监督检查、绩效管理等工作，明确专</w:t>
      </w:r>
    </w:p>
    <w:p>
      <w:pPr>
        <w:ind w:left="28"/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项资金申报流程，审核相关申请材料。</w:t>
      </w:r>
    </w:p>
    <w:p>
      <w:pPr>
        <w:spacing w:before="228" w:line="601" w:lineRule="exact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  <w:position w:val="21"/>
        </w:rPr>
        <w:t>各申报主体即项目承担单位，负责项目方案的编制、申</w:t>
      </w:r>
    </w:p>
    <w:p>
      <w:pPr>
        <w:ind w:left="67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</w:rPr>
        <w:t>报，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对提交的申报材料和财务资料等真实性和完整性负责，</w:t>
      </w:r>
    </w:p>
    <w:p>
      <w:pPr>
        <w:spacing w:line="222" w:lineRule="auto"/>
        <w:sectPr>
          <w:headerReference w:type="default" r:id="rId4"/>
          <w:footerReference w:type="default" r:id="rId5"/>
          <w:pgSz w:w="11906" w:h="16838"/>
          <w:pgMar w:top="400" w:right="1785" w:bottom="938" w:left="1785" w:header="0" w:footer="676" w:gutter="0"/>
        </w:sectPr>
        <w:rPr>
          <w:rFonts w:ascii="FangSong" w:hAnsi="FangSong" w:eastAsia="FangSong" w:cs="FangSong"/>
          <w:sz w:val="31"/>
          <w:szCs w:val="31"/>
        </w:rPr>
      </w:pPr>
    </w:p>
    <w:p>
      <w:pPr>
        <w:pStyle w:val="BodyText"/>
        <w:spacing w:line="284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ind w:left="67"/>
        <w:spacing w:before="101" w:line="60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  <w:position w:val="21"/>
        </w:rPr>
        <w:t>并按照项目建设计划和有关要求，做好项目实施、资金使用</w:t>
      </w:r>
    </w:p>
    <w:p>
      <w:pPr>
        <w:ind w:left="59"/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管理等工作。</w:t>
      </w:r>
    </w:p>
    <w:p>
      <w:pPr>
        <w:ind w:left="724"/>
        <w:spacing w:before="289" w:line="603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6"/>
          <w:position w:val="21"/>
        </w:rPr>
        <w:t>第四条</w:t>
      </w:r>
      <w:r>
        <w:rPr>
          <w:rFonts w:ascii="FangSong" w:hAnsi="FangSong" w:eastAsia="FangSong" w:cs="FangSong"/>
          <w:sz w:val="31"/>
          <w:szCs w:val="31"/>
          <w:spacing w:val="6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  <w:position w:val="21"/>
        </w:rPr>
        <w:t>专项资金按照</w:t>
      </w:r>
      <w:r>
        <w:rPr>
          <w:rFonts w:ascii="FangSong" w:hAnsi="FangSong" w:eastAsia="FangSong" w:cs="FangSong"/>
          <w:sz w:val="31"/>
          <w:szCs w:val="31"/>
          <w:spacing w:val="-88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  <w:position w:val="21"/>
        </w:rPr>
        <w:t>“集中财力，突出重点；分类支</w:t>
      </w:r>
    </w:p>
    <w:p>
      <w:pPr>
        <w:spacing w:line="222" w:lineRule="auto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</w:rPr>
        <w:t>持，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合理配置；公开透明，科学规范”的原则管理和使用。</w:t>
      </w:r>
    </w:p>
    <w:p>
      <w:pPr>
        <w:ind w:left="1360"/>
        <w:spacing w:before="324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9"/>
        </w:rPr>
        <w:t>第二章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 </w:t>
      </w: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9"/>
        </w:rPr>
        <w:t>重点领域、支持对象和分配方式</w:t>
      </w:r>
    </w:p>
    <w:p>
      <w:pPr>
        <w:ind w:left="56" w:right="20" w:firstLine="682"/>
        <w:spacing w:before="226" w:line="35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12"/>
        </w:rPr>
        <w:t>第五条</w:t>
      </w:r>
      <w:r>
        <w:rPr>
          <w:rFonts w:ascii="FangSong" w:hAnsi="FangSong" w:eastAsia="FangSong" w:cs="FangSong"/>
          <w:sz w:val="31"/>
          <w:szCs w:val="31"/>
          <w:spacing w:val="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专项资金的支持范围主要是围绕定海创新发展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,根据国家、省、市和区中长期科技规划纲要、科技新</w:t>
      </w:r>
      <w:r>
        <w:rPr>
          <w:rFonts w:ascii="FangSong" w:hAnsi="FangSong" w:eastAsia="FangSong" w:cs="FangSong"/>
          <w:sz w:val="31"/>
          <w:szCs w:val="31"/>
          <w:spacing w:val="12"/>
        </w:rPr>
        <w:t>政、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科技创新规划以及区委、区政府确定的年度科技重点工作部</w:t>
      </w:r>
    </w:p>
    <w:p>
      <w:pPr>
        <w:ind w:left="61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署确定。支持的重点领域如下：</w:t>
      </w:r>
    </w:p>
    <w:p>
      <w:pPr>
        <w:ind w:right="23"/>
        <w:spacing w:before="224" w:line="601" w:lineRule="exact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  <w:position w:val="21"/>
        </w:rPr>
        <w:t>（一）企业技术创新。重点支持产业技术攻关、企业研</w:t>
      </w:r>
    </w:p>
    <w:p>
      <w:pPr>
        <w:ind w:left="57"/>
        <w:spacing w:before="2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发投入、科技成果奖励等。</w:t>
      </w:r>
    </w:p>
    <w:p>
      <w:pPr>
        <w:ind w:right="23"/>
        <w:spacing w:before="230" w:line="600" w:lineRule="exact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  <w:position w:val="21"/>
        </w:rPr>
        <w:t>（二）创新主体培育。重点支持科技企业培育、研发机</w:t>
      </w:r>
    </w:p>
    <w:p>
      <w:pPr>
        <w:ind w:left="57"/>
        <w:spacing w:before="2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构建设、创新载体引进等。</w:t>
      </w:r>
    </w:p>
    <w:p>
      <w:pPr>
        <w:ind w:right="34"/>
        <w:spacing w:before="228" w:line="600" w:lineRule="exact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  <w:position w:val="21"/>
        </w:rPr>
        <w:t>（三）</w:t>
      </w:r>
      <w:r>
        <w:rPr>
          <w:rFonts w:ascii="FangSong" w:hAnsi="FangSong" w:eastAsia="FangSong" w:cs="FangSong"/>
          <w:sz w:val="31"/>
          <w:szCs w:val="31"/>
          <w:spacing w:val="12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  <w:position w:val="21"/>
        </w:rPr>
        <w:t>创新平台建设。重点支持创新创业人才引育、</w:t>
      </w:r>
    </w:p>
    <w:p>
      <w:pPr>
        <w:ind w:left="50"/>
        <w:spacing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创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新创业平台建设、科技数字系统建设等。</w:t>
      </w:r>
    </w:p>
    <w:p>
      <w:pPr>
        <w:ind w:left="61" w:right="20" w:firstLine="653"/>
        <w:spacing w:before="232" w:line="35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（四）成果转移转化。重点支持成果转移中心建设、科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技成果转化落地、科技中介服务机构培育、科技资源开放共</w:t>
      </w:r>
    </w:p>
    <w:p>
      <w:pPr>
        <w:ind w:left="71"/>
        <w:spacing w:before="2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3"/>
        </w:rPr>
        <w:t>享等。</w:t>
      </w:r>
    </w:p>
    <w:p>
      <w:pPr>
        <w:ind w:left="738"/>
        <w:spacing w:before="223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7"/>
        </w:rPr>
        <w:t>第六条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支持对象和基本条件</w:t>
      </w:r>
    </w:p>
    <w:p>
      <w:pPr>
        <w:ind w:left="714"/>
        <w:spacing w:before="229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9"/>
        </w:rPr>
        <w:t>（一）支持对象</w:t>
      </w:r>
    </w:p>
    <w:p>
      <w:pPr>
        <w:spacing w:before="229" w:line="600" w:lineRule="exact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  <w:position w:val="21"/>
        </w:rPr>
        <w:t>1.在我区注册并开展业务的具有独立法人资格的企业、</w:t>
      </w:r>
    </w:p>
    <w:p>
      <w:pPr>
        <w:ind w:left="67"/>
        <w:spacing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事业单位、社会团体及其他具备科研开发能力的单位。</w:t>
      </w:r>
    </w:p>
    <w:p>
      <w:pPr>
        <w:spacing w:line="221" w:lineRule="auto"/>
        <w:sectPr>
          <w:footerReference w:type="default" r:id="rId6"/>
          <w:pgSz w:w="11906" w:h="16838"/>
          <w:pgMar w:top="400" w:right="1785" w:bottom="938" w:left="1785" w:header="0" w:footer="676" w:gutter="0"/>
        </w:sectPr>
        <w:rPr>
          <w:rFonts w:ascii="FangSong" w:hAnsi="FangSong" w:eastAsia="FangSong" w:cs="FangSong"/>
          <w:sz w:val="31"/>
          <w:szCs w:val="31"/>
        </w:rPr>
      </w:pPr>
    </w:p>
    <w:p>
      <w:pPr>
        <w:pStyle w:val="BodyText"/>
        <w:spacing w:line="284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ind w:right="19"/>
        <w:spacing w:before="101" w:line="600" w:lineRule="exact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  <w:position w:val="21"/>
        </w:rPr>
        <w:t>2.与定海区政府或政府部门开展合作的科研院所、高等</w:t>
      </w:r>
    </w:p>
    <w:p>
      <w:pPr>
        <w:ind w:left="76"/>
        <w:spacing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学校及其他具备科研服务能力的单位。</w:t>
      </w:r>
    </w:p>
    <w:p>
      <w:pPr>
        <w:ind w:left="714"/>
        <w:spacing w:before="232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9"/>
        </w:rPr>
        <w:t>（二）基本条件</w:t>
      </w:r>
    </w:p>
    <w:p>
      <w:pPr>
        <w:ind w:left="71" w:right="23" w:firstLine="698"/>
        <w:spacing w:before="226" w:line="35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申请单位当年未发生安全生产、质量安全、环境污染等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重大责任事故、严重的群体性事件或情节较重的税</w:t>
      </w:r>
      <w:r>
        <w:rPr>
          <w:rFonts w:ascii="FangSong" w:hAnsi="FangSong" w:eastAsia="FangSong" w:cs="FangSong"/>
          <w:sz w:val="31"/>
          <w:szCs w:val="31"/>
          <w:spacing w:val="6"/>
        </w:rPr>
        <w:t>务稽查处</w:t>
      </w:r>
    </w:p>
    <w:p>
      <w:pPr>
        <w:ind w:left="75"/>
        <w:spacing w:before="1" w:line="2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3"/>
        </w:rPr>
        <w:t>罚，企业综合评价应在C档及以上，且信用</w:t>
      </w:r>
      <w:r>
        <w:rPr>
          <w:rFonts w:ascii="FangSong" w:hAnsi="FangSong" w:eastAsia="FangSong" w:cs="FangSong"/>
          <w:sz w:val="31"/>
          <w:szCs w:val="31"/>
          <w:spacing w:val="12"/>
        </w:rPr>
        <w:t>评价中等及以上</w:t>
      </w:r>
    </w:p>
    <w:p>
      <w:pPr>
        <w:pStyle w:val="BodyText"/>
        <w:spacing w:line="354" w:lineRule="auto"/>
        <w:rPr/>
      </w:pPr>
      <w:r/>
    </w:p>
    <w:p>
      <w:pPr>
        <w:ind w:left="80"/>
        <w:spacing w:before="100" w:line="136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position w:val="2"/>
        </w:rPr>
        <w:t>。</w:t>
      </w:r>
    </w:p>
    <w:p>
      <w:pPr>
        <w:ind w:left="738"/>
        <w:spacing w:before="244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5"/>
        </w:rPr>
        <w:t>第七条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分配方式</w:t>
      </w:r>
    </w:p>
    <w:p>
      <w:pPr>
        <w:ind w:left="714"/>
        <w:spacing w:before="225" w:line="606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9"/>
          <w:position w:val="21"/>
        </w:rPr>
        <w:t>（一）企业技术创新资金</w:t>
      </w:r>
    </w:p>
    <w:p>
      <w:pPr>
        <w:ind w:left="742"/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1.产业技术攻关项目资金</w:t>
      </w:r>
    </w:p>
    <w:p>
      <w:pPr>
        <w:ind w:left="59" w:right="20" w:firstLine="655"/>
        <w:spacing w:before="232" w:line="357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3"/>
        </w:rPr>
        <w:t>（1）省级以上科技项目奖励资金。对当年承担国家科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技重大专项、国家重点研发计划重点专项的企业，项目通过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验收后分别一次性奖励100万元、50万元；列入省重点研发</w:t>
      </w:r>
      <w:r>
        <w:rPr>
          <w:rFonts w:ascii="FangSong" w:hAnsi="FangSong" w:eastAsia="FangSong" w:cs="FangSong"/>
          <w:sz w:val="31"/>
          <w:szCs w:val="31"/>
          <w:spacing w:val="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9"/>
        </w:rPr>
        <w:t>计划择优委托项目的企业，项目通过验收后一次性奖励50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万；列入省竞争性项目的企业，项目通过验收后一次性奖励</w:t>
      </w:r>
    </w:p>
    <w:p>
      <w:pPr>
        <w:ind w:left="82"/>
        <w:spacing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3"/>
        </w:rPr>
        <w:t>30万元。</w:t>
      </w:r>
    </w:p>
    <w:p>
      <w:pPr>
        <w:ind w:left="56" w:right="20" w:firstLine="658"/>
        <w:spacing w:before="226" w:line="357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</w:rPr>
        <w:t>（2）</w:t>
      </w:r>
      <w:r>
        <w:rPr>
          <w:rFonts w:ascii="FangSong" w:hAnsi="FangSong" w:eastAsia="FangSong" w:cs="FangSong"/>
          <w:sz w:val="31"/>
          <w:szCs w:val="31"/>
          <w:spacing w:val="-8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区级科技项目资金。区级科技项目资金一般</w:t>
      </w:r>
      <w:r>
        <w:rPr>
          <w:rFonts w:ascii="FangSong" w:hAnsi="FangSong" w:eastAsia="FangSong" w:cs="FangSong"/>
          <w:sz w:val="31"/>
          <w:szCs w:val="31"/>
          <w:spacing w:val="9"/>
        </w:rPr>
        <w:t>采用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公开竞争方式确定拟补助项目及补助额度，原则上分前补助</w:t>
      </w:r>
    </w:p>
    <w:p>
      <w:pPr>
        <w:ind w:left="83"/>
        <w:spacing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、后补助和分期补助三种方式。</w:t>
      </w:r>
    </w:p>
    <w:p>
      <w:pPr>
        <w:ind w:left="64" w:right="22" w:firstLine="702"/>
        <w:spacing w:before="233" w:line="357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区级公益性项目、区级科技特派员项目、舟山市海大科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学技术研究院院地合作项目等采用前补助方式，一般为一次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性补助，其中：公益类项目每个项目补助不超过5万元；</w:t>
      </w:r>
      <w:r>
        <w:rPr>
          <w:rFonts w:ascii="FangSong" w:hAnsi="FangSong" w:eastAsia="FangSong" w:cs="FangSong"/>
          <w:sz w:val="31"/>
          <w:szCs w:val="31"/>
          <w:spacing w:val="-7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区</w:t>
      </w:r>
    </w:p>
    <w:p>
      <w:pPr>
        <w:ind w:left="71"/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级科技特派员每个项目补助4万元；每年安排不超过200万元</w:t>
      </w:r>
    </w:p>
    <w:p>
      <w:pPr>
        <w:spacing w:line="221" w:lineRule="auto"/>
        <w:sectPr>
          <w:footerReference w:type="default" r:id="rId7"/>
          <w:pgSz w:w="11906" w:h="16838"/>
          <w:pgMar w:top="400" w:right="1785" w:bottom="938" w:left="1785" w:header="0" w:footer="676" w:gutter="0"/>
        </w:sectPr>
        <w:rPr>
          <w:rFonts w:ascii="FangSong" w:hAnsi="FangSong" w:eastAsia="FangSong" w:cs="FangSong"/>
          <w:sz w:val="31"/>
          <w:szCs w:val="31"/>
        </w:rPr>
      </w:pPr>
    </w:p>
    <w:p>
      <w:pPr>
        <w:pStyle w:val="BodyText"/>
        <w:spacing w:line="285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ind w:left="57" w:right="17" w:firstLine="13"/>
        <w:spacing w:before="101" w:line="357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资金用于舟山市海大科学技术研究院院地合作项目</w:t>
      </w:r>
      <w:r>
        <w:rPr>
          <w:rFonts w:ascii="FangSong" w:hAnsi="FangSong" w:eastAsia="FangSong" w:cs="FangSong"/>
          <w:sz w:val="31"/>
          <w:szCs w:val="31"/>
          <w:spacing w:val="6"/>
        </w:rPr>
        <w:t>，根据项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目申请补助金额，按照专家立项评审结果给予一定比例补助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,</w:t>
      </w:r>
      <w:r>
        <w:rPr>
          <w:rFonts w:ascii="FangSong" w:hAnsi="FangSong" w:eastAsia="FangSong" w:cs="FangSong"/>
          <w:sz w:val="31"/>
          <w:szCs w:val="31"/>
          <w:spacing w:val="6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每个项目补助不超过40万元。区级重点科</w:t>
      </w:r>
      <w:r>
        <w:rPr>
          <w:rFonts w:ascii="FangSong" w:hAnsi="FangSong" w:eastAsia="FangSong" w:cs="FangSong"/>
          <w:sz w:val="31"/>
          <w:szCs w:val="31"/>
          <w:spacing w:val="4"/>
        </w:rPr>
        <w:t>技项目采用后补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助方式，项目通过验收后按核定研发投入，给予不</w:t>
      </w:r>
      <w:r>
        <w:rPr>
          <w:rFonts w:ascii="FangSong" w:hAnsi="FangSong" w:eastAsia="FangSong" w:cs="FangSong"/>
          <w:sz w:val="31"/>
          <w:szCs w:val="31"/>
          <w:spacing w:val="12"/>
        </w:rPr>
        <w:t>低于15%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的比例补助，最高不超过50万元。区重大产业技术攻关项目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0"/>
        </w:rPr>
        <w:t>采用分期补助方式，项目补助比例一般不低于预算总额的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20%，项目立项后按照核定补助的60%拨款，通过中期检查给</w:t>
      </w:r>
    </w:p>
    <w:p>
      <w:pPr>
        <w:ind w:left="71"/>
        <w:spacing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予40%，单个项目最高补助不超过200万元。</w:t>
      </w:r>
    </w:p>
    <w:p>
      <w:pPr>
        <w:ind w:left="53" w:right="22" w:firstLine="681"/>
        <w:spacing w:before="226" w:line="358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2.企业研发投入奖励资金。经税务部门认定的上年度允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许加计扣除研发费用（扣除政府补助、委托外部机构研发费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用部分）达到100万元以上、占营业收入3%以上（含）且年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增长10%以上的企业，按照上述加计扣除研发</w:t>
      </w:r>
      <w:r>
        <w:rPr>
          <w:rFonts w:ascii="FangSong" w:hAnsi="FangSong" w:eastAsia="FangSong" w:cs="FangSong"/>
          <w:sz w:val="31"/>
          <w:szCs w:val="31"/>
          <w:spacing w:val="6"/>
        </w:rPr>
        <w:t>费用增量的15%</w:t>
      </w:r>
    </w:p>
    <w:p>
      <w:pPr>
        <w:ind w:left="71"/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4"/>
        </w:rPr>
        <w:t>予以奖励，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最高不超过30万元。</w:t>
      </w:r>
    </w:p>
    <w:p>
      <w:pPr>
        <w:ind w:left="65" w:right="20" w:firstLine="682"/>
        <w:spacing w:before="227" w:line="357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3.科技成果奖励资金。对新获得国家科学技术奖一、二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、三等奖的分别奖励100万元、60万元、40万元(非第一完成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单位奖励减半)；新获得省科学技术奖一、二、三等奖的分</w:t>
      </w:r>
    </w:p>
    <w:p>
      <w:pPr>
        <w:ind w:left="56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别奖励50万元、30万元、20万元(非第一完成单位奖励减半)</w:t>
      </w:r>
    </w:p>
    <w:p>
      <w:pPr>
        <w:pStyle w:val="BodyText"/>
        <w:spacing w:line="351" w:lineRule="auto"/>
        <w:rPr/>
      </w:pPr>
      <w:r/>
    </w:p>
    <w:p>
      <w:pPr>
        <w:ind w:left="80"/>
        <w:spacing w:before="101" w:line="136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position w:val="2"/>
        </w:rPr>
        <w:t>。</w:t>
      </w:r>
    </w:p>
    <w:p>
      <w:pPr>
        <w:ind w:left="714"/>
        <w:spacing w:before="241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（二）创新主体培育资金。</w:t>
      </w:r>
    </w:p>
    <w:p>
      <w:pPr>
        <w:ind w:left="47" w:right="18" w:firstLine="694"/>
        <w:spacing w:before="226" w:line="35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8"/>
        </w:rPr>
        <w:t>1.科技企业认定奖励资金。对当年新认定的省创新型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领军企业，给予一次性50万元奖励；新认定的</w:t>
      </w:r>
      <w:r>
        <w:rPr>
          <w:rFonts w:ascii="FangSong" w:hAnsi="FangSong" w:eastAsia="FangSong" w:cs="FangSong"/>
          <w:sz w:val="31"/>
          <w:szCs w:val="31"/>
          <w:spacing w:val="1"/>
        </w:rPr>
        <w:t>国家高新技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术</w:t>
      </w:r>
    </w:p>
    <w:p>
      <w:pPr>
        <w:ind w:left="60"/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企业，给予一次性30万元奖励；对通过重新认定的国家高新</w:t>
      </w:r>
    </w:p>
    <w:p>
      <w:pPr>
        <w:spacing w:line="220" w:lineRule="auto"/>
        <w:sectPr>
          <w:footerReference w:type="default" r:id="rId8"/>
          <w:pgSz w:w="11906" w:h="16838"/>
          <w:pgMar w:top="400" w:right="1785" w:bottom="933" w:left="1785" w:header="0" w:footer="676" w:gutter="0"/>
        </w:sectPr>
        <w:rPr>
          <w:rFonts w:ascii="FangSong" w:hAnsi="FangSong" w:eastAsia="FangSong" w:cs="FangSong"/>
          <w:sz w:val="31"/>
          <w:szCs w:val="31"/>
        </w:rPr>
      </w:pPr>
    </w:p>
    <w:p>
      <w:pPr>
        <w:pStyle w:val="BodyText"/>
        <w:spacing w:line="284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ind w:left="61"/>
        <w:spacing w:before="101" w:line="60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3"/>
          <w:position w:val="21"/>
        </w:rPr>
        <w:t>技术企业，在上级奖励基础上给予一次性5万元奖励；对当</w:t>
      </w:r>
    </w:p>
    <w:p>
      <w:pPr>
        <w:ind w:left="61"/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年新认定的省级科技型中小企业，给予一次性3万</w:t>
      </w:r>
      <w:r>
        <w:rPr>
          <w:rFonts w:ascii="FangSong" w:hAnsi="FangSong" w:eastAsia="FangSong" w:cs="FangSong"/>
          <w:sz w:val="31"/>
          <w:szCs w:val="31"/>
          <w:spacing w:val="6"/>
        </w:rPr>
        <w:t>元奖励。</w:t>
      </w:r>
    </w:p>
    <w:p>
      <w:pPr>
        <w:ind w:left="62" w:right="18" w:firstLine="672"/>
        <w:spacing w:before="235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8"/>
        </w:rPr>
        <w:t>2.研发机构建设资金。对新认定的省级以上重点实验</w:t>
      </w:r>
      <w:r>
        <w:rPr>
          <w:rFonts w:ascii="FangSong" w:hAnsi="FangSong" w:eastAsia="FangSong" w:cs="FangSong"/>
          <w:sz w:val="31"/>
          <w:szCs w:val="31"/>
          <w:spacing w:val="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室和工程技术研究中心，给予一次性50万元的奖励；对当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年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新认定的省级企业研究院、省级高新技术企业研发中心分别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给予20万元、10万元奖励；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对经认定的</w:t>
      </w:r>
      <w:r>
        <w:rPr>
          <w:rFonts w:ascii="FangSong" w:hAnsi="FangSong" w:eastAsia="FangSong" w:cs="FangSong"/>
          <w:sz w:val="31"/>
          <w:szCs w:val="31"/>
        </w:rPr>
        <w:t>省级技术创新中心、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9"/>
        </w:rPr>
        <w:t>重点企业研究院(农业重点企业研究院)，分三年每家给予</w:t>
      </w:r>
    </w:p>
    <w:p>
      <w:pPr>
        <w:ind w:left="70"/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3"/>
        </w:rPr>
        <w:t>200万元补助。</w:t>
      </w:r>
    </w:p>
    <w:p>
      <w:pPr>
        <w:ind w:left="71" w:right="20" w:firstLine="675"/>
        <w:spacing w:before="229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3.创新载体引进资金。对新建或整体迁入的独</w:t>
      </w:r>
      <w:r>
        <w:rPr>
          <w:rFonts w:ascii="FangSong" w:hAnsi="FangSong" w:eastAsia="FangSong" w:cs="FangSong"/>
          <w:sz w:val="31"/>
          <w:szCs w:val="31"/>
          <w:spacing w:val="4"/>
        </w:rPr>
        <w:t>立型国家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级科研院所、国内著名科研机构、</w:t>
      </w:r>
      <w:r>
        <w:rPr>
          <w:rFonts w:ascii="FangSong" w:hAnsi="FangSong" w:eastAsia="FangSong" w:cs="FangSong"/>
          <w:sz w:val="31"/>
          <w:szCs w:val="31"/>
          <w:spacing w:val="-10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“双一流”大学等院校设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立的分所(院、校)，按照协议约定给予相应的补助。对于企</w:t>
      </w:r>
      <w:r>
        <w:rPr>
          <w:rFonts w:ascii="FangSong" w:hAnsi="FangSong" w:eastAsia="FangSong" w:cs="FangSong"/>
          <w:sz w:val="31"/>
          <w:szCs w:val="31"/>
          <w:spacing w:val="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业引进市外大院名校在我区共建创新载体并正式运</w:t>
      </w:r>
      <w:r>
        <w:rPr>
          <w:rFonts w:ascii="FangSong" w:hAnsi="FangSong" w:eastAsia="FangSong" w:cs="FangSong"/>
          <w:sz w:val="31"/>
          <w:szCs w:val="31"/>
          <w:spacing w:val="6"/>
        </w:rPr>
        <w:t>行后，经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审核一次性给予20万元的补助。对设立具备独立法人资格、</w:t>
      </w:r>
      <w:r>
        <w:rPr>
          <w:rFonts w:ascii="FangSong" w:hAnsi="FangSong" w:eastAsia="FangSong" w:cs="FangSong"/>
          <w:sz w:val="31"/>
          <w:szCs w:val="31"/>
          <w:spacing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引入核心技术并配置核心研发团队的新型研发机构</w:t>
      </w:r>
      <w:r>
        <w:rPr>
          <w:rFonts w:ascii="FangSong" w:hAnsi="FangSong" w:eastAsia="FangSong" w:cs="FangSong"/>
          <w:sz w:val="31"/>
          <w:szCs w:val="31"/>
          <w:spacing w:val="6"/>
        </w:rPr>
        <w:t>，在上级</w:t>
      </w:r>
    </w:p>
    <w:p>
      <w:pPr>
        <w:ind w:left="57"/>
        <w:spacing w:before="1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部门认定奖励基础上再给予每家50万元补助。</w:t>
      </w:r>
    </w:p>
    <w:p>
      <w:pPr>
        <w:ind w:left="714"/>
        <w:spacing w:before="229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9"/>
        </w:rPr>
        <w:t>（三）创新平台建设资金</w:t>
      </w:r>
    </w:p>
    <w:p>
      <w:pPr>
        <w:ind w:left="55" w:right="21" w:firstLine="687"/>
        <w:spacing w:before="224" w:line="35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1.创新创业人才引育资金。对新引育的浙江省领军型创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新创业团队，按照相关政策给予相应支持。对经批准企业新</w:t>
      </w:r>
      <w:r>
        <w:rPr>
          <w:rFonts w:ascii="FangSong" w:hAnsi="FangSong" w:eastAsia="FangSong" w:cs="FangSong"/>
          <w:sz w:val="31"/>
          <w:szCs w:val="31"/>
          <w:spacing w:val="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建的院士专家工作站，在上级补助基础上一次性给予10万元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的补助。鼓励3人以上在读研究生团队到我区企业、研究院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等平台进行为期不少于1个月的产学研合作，经认定后按照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硕士研究生每人每月1000元，博士研究生每人每月1500元的</w:t>
      </w:r>
    </w:p>
    <w:p>
      <w:pPr>
        <w:ind w:left="55"/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标准给予合作单位补助，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专项用于研究生团队的生活补贴。</w:t>
      </w:r>
    </w:p>
    <w:p>
      <w:pPr>
        <w:spacing w:line="220" w:lineRule="auto"/>
        <w:sectPr>
          <w:footerReference w:type="default" r:id="rId9"/>
          <w:pgSz w:w="11906" w:h="16838"/>
          <w:pgMar w:top="400" w:right="1785" w:bottom="938" w:left="1785" w:header="0" w:footer="676" w:gutter="0"/>
        </w:sectPr>
        <w:rPr>
          <w:rFonts w:ascii="FangSong" w:hAnsi="FangSong" w:eastAsia="FangSong" w:cs="FangSong"/>
          <w:sz w:val="31"/>
          <w:szCs w:val="31"/>
        </w:rPr>
      </w:pPr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ind w:left="50" w:right="20" w:firstLine="684"/>
        <w:spacing w:before="101" w:line="35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2.创新创业平台建设资金。推进产业创新服务综合体建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设，优先支持综合体开展关键技术攻关、科</w:t>
      </w:r>
      <w:r>
        <w:rPr>
          <w:rFonts w:ascii="FangSong" w:hAnsi="FangSong" w:eastAsia="FangSong" w:cs="FangSong"/>
          <w:sz w:val="31"/>
          <w:szCs w:val="31"/>
          <w:spacing w:val="7"/>
        </w:rPr>
        <w:t>技成果转化，创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新载体共建等。对新认定省级科技企业孵化器、星创天地，</w:t>
      </w:r>
      <w:r>
        <w:rPr>
          <w:rFonts w:ascii="FangSong" w:hAnsi="FangSong" w:eastAsia="FangSong" w:cs="FangSong"/>
          <w:sz w:val="31"/>
          <w:szCs w:val="31"/>
          <w:spacing w:val="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分别一次性给予50万元的奖励；对经备案的市级及以上的众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创空间，一次性给予5万元的奖励；对被评为省级及以上、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市级优秀众创空间，分别一次性给予30万元、20万元的奖励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;</w:t>
      </w:r>
      <w:r>
        <w:rPr>
          <w:rFonts w:ascii="FangSong" w:hAnsi="FangSong" w:eastAsia="FangSong" w:cs="FangSong"/>
          <w:sz w:val="31"/>
          <w:szCs w:val="31"/>
          <w:spacing w:val="9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对民营企业运营并成功备案市级以上</w:t>
      </w:r>
      <w:r>
        <w:rPr>
          <w:rFonts w:ascii="FangSong" w:hAnsi="FangSong" w:eastAsia="FangSong" w:cs="FangSong"/>
          <w:sz w:val="31"/>
          <w:szCs w:val="31"/>
          <w:spacing w:val="-1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“众创空间</w:t>
      </w:r>
      <w:r>
        <w:rPr>
          <w:rFonts w:ascii="FangSong" w:hAnsi="FangSong" w:eastAsia="FangSong" w:cs="FangSong"/>
          <w:sz w:val="31"/>
          <w:szCs w:val="31"/>
          <w:spacing w:val="2"/>
        </w:rPr>
        <w:t>”的企业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,</w:t>
      </w:r>
      <w:r>
        <w:rPr>
          <w:rFonts w:ascii="FangSong" w:hAnsi="FangSong" w:eastAsia="FangSong" w:cs="FangSong"/>
          <w:sz w:val="31"/>
          <w:szCs w:val="31"/>
          <w:spacing w:val="13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当年度考核合格后对当年房租予以80%的补助，其中众创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空间总面积低于500平方米的，最高不超过10万元，总面积</w:t>
      </w:r>
    </w:p>
    <w:p>
      <w:pPr>
        <w:ind w:left="51"/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</w:rPr>
        <w:t>超过500平方米的，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最高不超过20万元。</w:t>
      </w:r>
    </w:p>
    <w:p>
      <w:pPr>
        <w:ind w:right="23"/>
        <w:spacing w:before="228" w:line="600" w:lineRule="exact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  <w:position w:val="21"/>
        </w:rPr>
        <w:t>3.推动科技数字系统建设。加快科技数字化改</w:t>
      </w:r>
      <w:r>
        <w:rPr>
          <w:rFonts w:ascii="FangSong" w:hAnsi="FangSong" w:eastAsia="FangSong" w:cs="FangSong"/>
          <w:sz w:val="31"/>
          <w:szCs w:val="31"/>
          <w:spacing w:val="4"/>
          <w:position w:val="21"/>
        </w:rPr>
        <w:t>革，每年</w:t>
      </w:r>
    </w:p>
    <w:p>
      <w:pPr>
        <w:ind w:left="65"/>
        <w:spacing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安排一定资金用于科技数字化服务平台及其应用场景</w:t>
      </w:r>
      <w:r>
        <w:rPr>
          <w:rFonts w:ascii="FangSong" w:hAnsi="FangSong" w:eastAsia="FangSong" w:cs="FangSong"/>
          <w:sz w:val="31"/>
          <w:szCs w:val="31"/>
          <w:spacing w:val="6"/>
        </w:rPr>
        <w:t>建设。</w:t>
      </w:r>
    </w:p>
    <w:p>
      <w:pPr>
        <w:ind w:left="714"/>
        <w:spacing w:before="231" w:line="2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（四）成果转移转化资金</w:t>
      </w:r>
    </w:p>
    <w:p>
      <w:pPr>
        <w:ind w:left="65" w:right="22" w:firstLine="677"/>
        <w:spacing w:before="238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1.成果转移中心建设资金。高等院校、科研院所等在我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区设立技术转移中心(联盟)的，给予每家每年5万元的运行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经费。支持国际技术转移中心建设，给予每家每年30万</w:t>
      </w:r>
      <w:r>
        <w:rPr>
          <w:rFonts w:ascii="FangSong" w:hAnsi="FangSong" w:eastAsia="FangSong" w:cs="FangSong"/>
          <w:sz w:val="31"/>
          <w:szCs w:val="31"/>
          <w:spacing w:val="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元</w:t>
      </w:r>
    </w:p>
    <w:p>
      <w:pPr>
        <w:ind w:left="85"/>
        <w:spacing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的运行经费。</w:t>
      </w:r>
    </w:p>
    <w:p>
      <w:pPr>
        <w:ind w:left="76" w:right="23" w:firstLine="658"/>
        <w:spacing w:before="229" w:line="35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2.科技成果转化落地资金。对企业通过网上技术市场交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易(拍卖)购买高校、科研机构科技成果实现产业化的，按技</w:t>
      </w:r>
    </w:p>
    <w:p>
      <w:pPr>
        <w:ind w:left="60"/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术合同实际支付额的10%给予补助，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最高不超过50万元。</w:t>
      </w:r>
    </w:p>
    <w:p>
      <w:pPr>
        <w:ind w:left="61" w:right="23" w:firstLine="685"/>
        <w:spacing w:before="228" w:line="35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3.科技中介服务机构培育资金。加快引进、建</w:t>
      </w:r>
      <w:r>
        <w:rPr>
          <w:rFonts w:ascii="FangSong" w:hAnsi="FangSong" w:eastAsia="FangSong" w:cs="FangSong"/>
          <w:sz w:val="31"/>
          <w:szCs w:val="31"/>
          <w:spacing w:val="4"/>
        </w:rPr>
        <w:t>设各类科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技中介服务机构，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鼓励政府机构、企事业单位在人才引育、</w:t>
      </w:r>
    </w:p>
    <w:p>
      <w:pPr>
        <w:ind w:left="56"/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科技服务、项目招引等方面与中介服务机构开展合作、购买</w:t>
      </w:r>
    </w:p>
    <w:p>
      <w:pPr>
        <w:spacing w:line="220" w:lineRule="auto"/>
        <w:sectPr>
          <w:footerReference w:type="default" r:id="rId10"/>
          <w:pgSz w:w="11906" w:h="16838"/>
          <w:pgMar w:top="400" w:right="1785" w:bottom="933" w:left="1785" w:header="0" w:footer="671" w:gutter="0"/>
        </w:sectPr>
        <w:rPr>
          <w:rFonts w:ascii="FangSong" w:hAnsi="FangSong" w:eastAsia="FangSong" w:cs="FangSong"/>
          <w:sz w:val="31"/>
          <w:szCs w:val="31"/>
        </w:rPr>
      </w:pPr>
    </w:p>
    <w:p>
      <w:pPr>
        <w:pStyle w:val="BodyText"/>
        <w:spacing w:line="284" w:lineRule="auto"/>
        <w:rPr/>
      </w:pPr>
      <w:r/>
    </w:p>
    <w:p>
      <w:pPr>
        <w:pStyle w:val="BodyText"/>
        <w:spacing w:line="284" w:lineRule="auto"/>
        <w:rPr/>
      </w:pPr>
      <w:r/>
    </w:p>
    <w:p>
      <w:pPr>
        <w:pStyle w:val="BodyText"/>
        <w:spacing w:line="284" w:lineRule="auto"/>
        <w:rPr/>
      </w:pPr>
      <w:r/>
    </w:p>
    <w:p>
      <w:pPr>
        <w:pStyle w:val="BodyText"/>
        <w:spacing w:line="284" w:lineRule="auto"/>
        <w:rPr/>
      </w:pPr>
      <w:r/>
    </w:p>
    <w:p>
      <w:pPr>
        <w:ind w:left="61"/>
        <w:spacing w:before="101" w:line="603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  <w:position w:val="21"/>
        </w:rPr>
        <w:t>服务，对新认定的省级科技中介服务机构，一次性给予10万</w:t>
      </w:r>
    </w:p>
    <w:p>
      <w:pPr>
        <w:ind w:left="68"/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7"/>
        </w:rPr>
        <w:t>元的补助。</w:t>
      </w:r>
    </w:p>
    <w:p>
      <w:pPr>
        <w:ind w:left="50" w:right="23" w:firstLine="683"/>
        <w:spacing w:before="231" w:line="356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4.科技资源开放共享资金。企业购买科技服务最高可用</w:t>
      </w:r>
      <w:r>
        <w:rPr>
          <w:rFonts w:ascii="FangSong" w:hAnsi="FangSong" w:eastAsia="FangSong" w:cs="FangSong"/>
          <w:sz w:val="31"/>
          <w:szCs w:val="31"/>
          <w:spacing w:val="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创新券抵扣50%的支付经费，高新技术企业每家每年最高给</w:t>
      </w:r>
    </w:p>
    <w:p>
      <w:pPr>
        <w:ind w:left="71"/>
        <w:spacing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予10万元创新券支持。</w:t>
      </w:r>
    </w:p>
    <w:p>
      <w:pPr>
        <w:ind w:left="2109"/>
        <w:spacing w:before="328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8"/>
        </w:rPr>
        <w:t>第三章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 </w:t>
      </w: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8"/>
        </w:rPr>
        <w:t>资金分配和使用管理</w:t>
      </w:r>
    </w:p>
    <w:p>
      <w:pPr>
        <w:ind w:right="41"/>
        <w:spacing w:before="228" w:line="597" w:lineRule="exact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11"/>
          <w:position w:val="21"/>
        </w:rPr>
        <w:t>第八条</w:t>
      </w:r>
      <w:r>
        <w:rPr>
          <w:rFonts w:ascii="FangSong" w:hAnsi="FangSong" w:eastAsia="FangSong" w:cs="FangSong"/>
          <w:sz w:val="31"/>
          <w:szCs w:val="31"/>
          <w:spacing w:val="11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  <w:position w:val="21"/>
        </w:rPr>
        <w:t>各申报单位应根据相关要求，在规定时间内自</w:t>
      </w:r>
    </w:p>
    <w:p>
      <w:pPr>
        <w:ind w:left="63"/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愿申报，并对申报材料的真实性和完整性负责。</w:t>
      </w:r>
    </w:p>
    <w:p>
      <w:pPr>
        <w:ind w:right="56"/>
        <w:spacing w:before="235" w:line="600" w:lineRule="exact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10"/>
          <w:position w:val="21"/>
        </w:rPr>
        <w:t>第九条</w:t>
      </w:r>
      <w:r>
        <w:rPr>
          <w:rFonts w:ascii="FangSong" w:hAnsi="FangSong" w:eastAsia="FangSong" w:cs="FangSong"/>
          <w:sz w:val="31"/>
          <w:szCs w:val="31"/>
          <w:spacing w:val="10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  <w:position w:val="21"/>
        </w:rPr>
        <w:t>各镇(街道)、功能区、区属相关单位要负责做</w:t>
      </w:r>
    </w:p>
    <w:p>
      <w:pPr>
        <w:ind w:left="66"/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好本区域内申报项目的初审、推荐等工作。</w:t>
      </w:r>
    </w:p>
    <w:p>
      <w:pPr>
        <w:ind w:right="44"/>
        <w:spacing w:before="233" w:line="600" w:lineRule="exact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9"/>
          <w:position w:val="21"/>
        </w:rPr>
        <w:t>第十条</w:t>
      </w:r>
      <w:r>
        <w:rPr>
          <w:rFonts w:ascii="FangSong" w:hAnsi="FangSong" w:eastAsia="FangSong" w:cs="FangSong"/>
          <w:sz w:val="31"/>
          <w:szCs w:val="31"/>
          <w:spacing w:val="71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  <w:position w:val="21"/>
        </w:rPr>
        <w:t>区级科技项目以公开竞争方式择优遴选，具体</w:t>
      </w:r>
    </w:p>
    <w:p>
      <w:pPr>
        <w:ind w:left="78"/>
        <w:spacing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实行项目初审、专家评审、立项决策等立项审批制度。</w:t>
      </w:r>
    </w:p>
    <w:p>
      <w:pPr>
        <w:ind w:left="724"/>
        <w:spacing w:before="231" w:line="60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12"/>
          <w:position w:val="21"/>
        </w:rPr>
        <w:t>第十一条</w:t>
      </w:r>
      <w:r>
        <w:rPr>
          <w:rFonts w:ascii="FangSong" w:hAnsi="FangSong" w:eastAsia="FangSong" w:cs="FangSong"/>
          <w:sz w:val="31"/>
          <w:szCs w:val="31"/>
          <w:spacing w:val="86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  <w:position w:val="21"/>
        </w:rPr>
        <w:t>区级科技项目承担单位应按照合同(任务、</w:t>
      </w:r>
    </w:p>
    <w:p>
      <w:pPr>
        <w:ind w:left="148"/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申报)书约定组织项目实施，及时完成项目验收工作。</w:t>
      </w:r>
    </w:p>
    <w:p>
      <w:pPr>
        <w:ind w:left="51" w:right="50" w:firstLine="672"/>
        <w:spacing w:before="228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11"/>
        </w:rPr>
        <w:t>第十二条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</w:rPr>
        <w:t>前补助和分期补助方式的科技项目资金，其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项目实施、验收等管理工作，根据科技计划项目管理办法等</w:t>
      </w:r>
      <w:r>
        <w:rPr>
          <w:rFonts w:ascii="FangSong" w:hAnsi="FangSong" w:eastAsia="FangSong" w:cs="FangSong"/>
          <w:sz w:val="31"/>
          <w:szCs w:val="31"/>
          <w:spacing w:val="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相关规定执行。后补助方式的科技项目资金，承担单位可以</w:t>
      </w:r>
    </w:p>
    <w:p>
      <w:pPr>
        <w:ind w:left="112"/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自主统筹用于科技创新工作支出。</w:t>
      </w:r>
    </w:p>
    <w:p>
      <w:pPr>
        <w:ind w:left="75" w:right="14" w:firstLine="648"/>
        <w:spacing w:before="239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13"/>
        </w:rPr>
        <w:t>第十三条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项目实施期间，专项资金年度结余可</w:t>
      </w:r>
      <w:r>
        <w:rPr>
          <w:rFonts w:ascii="FangSong" w:hAnsi="FangSong" w:eastAsia="FangSong" w:cs="FangSong"/>
          <w:sz w:val="31"/>
          <w:szCs w:val="31"/>
          <w:spacing w:val="12"/>
        </w:rPr>
        <w:t>结转下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一年度继续使用。完成任务目标并通过验收后，结余资</w:t>
      </w:r>
      <w:r>
        <w:rPr>
          <w:rFonts w:ascii="FangSong" w:hAnsi="FangSong" w:eastAsia="FangSong" w:cs="FangSong"/>
          <w:sz w:val="31"/>
          <w:szCs w:val="31"/>
          <w:spacing w:val="6"/>
        </w:rPr>
        <w:t>金按</w:t>
      </w:r>
    </w:p>
    <w:p>
      <w:pPr>
        <w:ind w:left="65"/>
        <w:spacing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</w:rPr>
        <w:t>规定予以收回。</w:t>
      </w:r>
    </w:p>
    <w:p>
      <w:pPr>
        <w:ind w:right="11"/>
        <w:spacing w:before="230" w:line="597" w:lineRule="exact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13"/>
          <w:position w:val="21"/>
        </w:rPr>
        <w:t>第十四条</w:t>
      </w:r>
      <w:r>
        <w:rPr>
          <w:rFonts w:ascii="FangSong" w:hAnsi="FangSong" w:eastAsia="FangSong" w:cs="FangSong"/>
          <w:sz w:val="31"/>
          <w:szCs w:val="31"/>
          <w:spacing w:val="13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  <w:position w:val="21"/>
        </w:rPr>
        <w:t>项目承担单位应当严格执行国家、省、市和</w:t>
      </w:r>
    </w:p>
    <w:p>
      <w:pPr>
        <w:ind w:left="96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区有关支出管理、资产管理等制度。行政事业单位使用专项</w:t>
      </w:r>
    </w:p>
    <w:p>
      <w:pPr>
        <w:spacing w:line="222" w:lineRule="auto"/>
        <w:sectPr>
          <w:footerReference w:type="default" r:id="rId11"/>
          <w:pgSz w:w="11906" w:h="16838"/>
          <w:pgMar w:top="400" w:right="1785" w:bottom="938" w:left="1785" w:header="0" w:footer="676" w:gutter="0"/>
        </w:sectPr>
        <w:rPr>
          <w:rFonts w:ascii="FangSong" w:hAnsi="FangSong" w:eastAsia="FangSong" w:cs="FangSong"/>
          <w:sz w:val="31"/>
          <w:szCs w:val="31"/>
        </w:rPr>
      </w:pPr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ind w:left="59" w:right="16" w:hanging="3"/>
        <w:spacing w:before="101" w:line="357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项目资金形成的固定资产属于国有资产，应当按照国家和省</w:t>
      </w:r>
      <w:r>
        <w:rPr>
          <w:rFonts w:ascii="FangSong" w:hAnsi="FangSong" w:eastAsia="FangSong" w:cs="FangSong"/>
          <w:sz w:val="31"/>
          <w:szCs w:val="31"/>
          <w:spacing w:val="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有关国有资产管理的规定执行。企业使用专项项目资金形成</w:t>
      </w:r>
    </w:p>
    <w:p>
      <w:pPr>
        <w:ind w:left="80"/>
        <w:spacing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的固定资产，按照《企业财务通则》等相关规章制度执行。</w:t>
      </w:r>
    </w:p>
    <w:p>
      <w:pPr>
        <w:ind w:left="2109"/>
        <w:spacing w:before="330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8"/>
        </w:rPr>
        <w:t>第四章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 </w:t>
      </w: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8"/>
        </w:rPr>
        <w:t>监督检查和绩效评价</w:t>
      </w:r>
    </w:p>
    <w:p>
      <w:pPr>
        <w:ind w:left="50" w:right="14" w:firstLine="669"/>
        <w:spacing w:before="226" w:line="358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16"/>
        </w:rPr>
        <w:t>第十五条</w:t>
      </w:r>
      <w:r>
        <w:rPr>
          <w:rFonts w:ascii="FangSong" w:hAnsi="FangSong" w:eastAsia="FangSong" w:cs="FangSong"/>
          <w:sz w:val="31"/>
          <w:szCs w:val="31"/>
          <w:spacing w:val="58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16"/>
        </w:rPr>
        <w:t>区科技部门会同区财政部门要加强对专项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资金的使用管理、监督检查和跟踪问效，必要时</w:t>
      </w:r>
      <w:r>
        <w:rPr>
          <w:rFonts w:ascii="FangSong" w:hAnsi="FangSong" w:eastAsia="FangSong" w:cs="FangSong"/>
          <w:sz w:val="31"/>
          <w:szCs w:val="31"/>
          <w:spacing w:val="7"/>
        </w:rPr>
        <w:t>委托中介机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构进行专项检查或绩效评价。督促指导承担单位</w:t>
      </w:r>
      <w:r>
        <w:rPr>
          <w:rFonts w:ascii="FangSong" w:hAnsi="FangSong" w:eastAsia="FangSong" w:cs="FangSong"/>
          <w:sz w:val="31"/>
          <w:szCs w:val="31"/>
          <w:spacing w:val="7"/>
        </w:rPr>
        <w:t>按规定要求</w:t>
      </w:r>
    </w:p>
    <w:p>
      <w:pPr>
        <w:ind w:left="46"/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使用专项资金，对发现的问题予以及时纠正。</w:t>
      </w:r>
    </w:p>
    <w:p>
      <w:pPr>
        <w:ind w:left="47" w:right="13" w:firstLine="676"/>
        <w:spacing w:before="231" w:line="357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-8"/>
        </w:rPr>
        <w:t>第十六条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对违反规定，截留、挪用专项资金，擅自改</w:t>
      </w:r>
      <w:r>
        <w:rPr>
          <w:rFonts w:ascii="FangSong" w:hAnsi="FangSong" w:eastAsia="FangSong" w:cs="FangSong"/>
          <w:sz w:val="31"/>
          <w:szCs w:val="31"/>
          <w:spacing w:val="4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变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资金用途，或以虚报、冒领等手段骗取财政资金的，将依</w:t>
      </w:r>
      <w:r>
        <w:rPr>
          <w:rFonts w:ascii="FangSong" w:hAnsi="FangSong" w:eastAsia="FangSong" w:cs="FangSong"/>
          <w:sz w:val="31"/>
          <w:szCs w:val="31"/>
          <w:spacing w:val="54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照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《中华人民共和国预算法》、《财政违法行为处罚处分条例</w:t>
      </w:r>
    </w:p>
    <w:p>
      <w:pPr>
        <w:ind w:left="66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》等有关法律法规查处。</w:t>
      </w:r>
    </w:p>
    <w:p>
      <w:pPr>
        <w:ind w:left="3232"/>
        <w:spacing w:before="328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-3"/>
        </w:rPr>
        <w:t>第五章</w:t>
      </w:r>
      <w:r>
        <w:rPr>
          <w:rFonts w:ascii="FangSong" w:hAnsi="FangSong" w:eastAsia="FangSong" w:cs="FangSong"/>
          <w:sz w:val="31"/>
          <w:szCs w:val="31"/>
          <w:spacing w:val="26"/>
        </w:rPr>
        <w:t xml:space="preserve">  </w:t>
      </w: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-3"/>
        </w:rPr>
        <w:t>附则</w:t>
      </w:r>
    </w:p>
    <w:p>
      <w:pPr>
        <w:ind w:left="32" w:right="74" w:firstLine="646"/>
        <w:spacing w:before="229" w:line="357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4"/>
        </w:rPr>
        <w:t>第十七条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本办法自2024年2月24日起开始施行，实施期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限至2024年11月19日。2023年1月1日至本办法施行之日期间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的政策，参照本办法执行。本办法涉及同一事项奖励（补助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</w:rPr>
        <w:t>)内容按就高不重复原则办理，除特殊说明外，本办法规定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的项目补助、奖励金额，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包括上级部门补助奖励资金额度。</w:t>
      </w:r>
      <w:r>
        <w:rPr>
          <w:rFonts w:ascii="FangSong" w:hAnsi="FangSong" w:eastAsia="FangSong" w:cs="FangSong"/>
          <w:sz w:val="31"/>
          <w:szCs w:val="31"/>
          <w:spacing w:val="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原《舟山市定海区区级科技发展专项资金管理</w:t>
      </w:r>
      <w:r>
        <w:rPr>
          <w:rFonts w:ascii="FangSong" w:hAnsi="FangSong" w:eastAsia="FangSong" w:cs="FangSong"/>
          <w:sz w:val="31"/>
          <w:szCs w:val="31"/>
          <w:spacing w:val="7"/>
        </w:rPr>
        <w:t>暂行办法》</w:t>
      </w:r>
      <w:r>
        <w:rPr>
          <w:rFonts w:ascii="FangSong" w:hAnsi="FangSong" w:eastAsia="FangSong" w:cs="FangSong"/>
          <w:sz w:val="31"/>
          <w:szCs w:val="31"/>
          <w:spacing w:val="-6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(</w:t>
      </w:r>
    </w:p>
    <w:p>
      <w:pPr>
        <w:ind w:left="28"/>
        <w:spacing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定财企〔2022〕33号)</w:t>
      </w:r>
      <w:r>
        <w:rPr>
          <w:rFonts w:ascii="FangSong" w:hAnsi="FangSong" w:eastAsia="FangSong" w:cs="FangSong"/>
          <w:sz w:val="31"/>
          <w:szCs w:val="31"/>
          <w:spacing w:val="49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2"/>
        </w:rPr>
        <w:t>同时废止。</w:t>
      </w:r>
    </w:p>
    <w:p>
      <w:pPr>
        <w:pStyle w:val="BodyText"/>
        <w:spacing w:line="271" w:lineRule="auto"/>
        <w:rPr/>
      </w:pPr>
      <w:r/>
    </w:p>
    <w:p>
      <w:pPr>
        <w:ind w:left="678"/>
        <w:spacing w:before="102" w:line="60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lim="3"/>
          </w14:textOutline>
          <w:spacing w:val="11"/>
          <w:position w:val="21"/>
        </w:rPr>
        <w:t>第十八条</w:t>
      </w:r>
      <w:r>
        <w:rPr>
          <w:rFonts w:ascii="FangSong" w:hAnsi="FangSong" w:eastAsia="FangSong" w:cs="FangSong"/>
          <w:sz w:val="31"/>
          <w:szCs w:val="31"/>
          <w:spacing w:val="11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  <w:position w:val="21"/>
        </w:rPr>
        <w:t>本办法由区财政部门会同区科技部门负责解</w:t>
      </w:r>
    </w:p>
    <w:p>
      <w:pPr>
        <w:ind w:left="19"/>
        <w:spacing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5"/>
        </w:rPr>
        <w:t>释。</w:t>
      </w:r>
    </w:p>
    <w:sectPr>
      <w:footerReference w:type="default" r:id="rId12"/>
      <w:pgSz w:w="11906" w:h="16838"/>
      <w:pgMar w:top="400" w:right="1785" w:bottom="938" w:left="1785" w:header="0" w:footer="676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132"/>
      <w:spacing w:line="187" w:lineRule="auto"/>
      <w:rPr>
        <w:sz w:val="28"/>
        <w:szCs w:val="28"/>
      </w:rPr>
    </w:pPr>
    <w:r>
      <w:rPr>
        <w:sz w:val="28"/>
        <w:szCs w:val="28"/>
        <w:spacing w:val="-4"/>
        <w:w w:val="98"/>
      </w:rPr>
      <w:t>—</w:t>
    </w:r>
    <w:r>
      <w:rPr>
        <w:sz w:val="28"/>
        <w:szCs w:val="28"/>
        <w:spacing w:val="73"/>
      </w:rPr>
      <w:t xml:space="preserve"> </w:t>
    </w:r>
    <w:r>
      <w:rPr>
        <w:sz w:val="28"/>
        <w:szCs w:val="28"/>
        <w:spacing w:val="-4"/>
        <w:w w:val="98"/>
      </w:rPr>
      <w:t>2</w:t>
    </w:r>
    <w:r>
      <w:rPr>
        <w:sz w:val="28"/>
        <w:szCs w:val="28"/>
        <w:spacing w:val="62"/>
        <w:w w:val="101"/>
      </w:rPr>
      <w:t xml:space="preserve"> </w:t>
    </w:r>
    <w:r>
      <w:rPr>
        <w:sz w:val="28"/>
        <w:szCs w:val="28"/>
        <w:spacing w:val="-4"/>
        <w:w w:val="98"/>
      </w:rPr>
      <w:t>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132"/>
      <w:spacing w:before="1" w:line="187" w:lineRule="auto"/>
      <w:rPr>
        <w:sz w:val="28"/>
        <w:szCs w:val="28"/>
      </w:rPr>
    </w:pPr>
    <w:r>
      <w:rPr>
        <w:sz w:val="28"/>
        <w:szCs w:val="28"/>
        <w:spacing w:val="-8"/>
      </w:rPr>
      <w:t>—</w:t>
    </w:r>
    <w:r>
      <w:rPr>
        <w:sz w:val="28"/>
        <w:szCs w:val="28"/>
        <w:spacing w:val="70"/>
        <w:w w:val="101"/>
      </w:rPr>
      <w:t xml:space="preserve"> </w:t>
    </w:r>
    <w:r>
      <w:rPr>
        <w:sz w:val="28"/>
        <w:szCs w:val="28"/>
        <w:spacing w:val="-8"/>
      </w:rPr>
      <w:t>3</w:t>
    </w:r>
    <w:r>
      <w:rPr>
        <w:sz w:val="28"/>
        <w:szCs w:val="28"/>
        <w:spacing w:val="62"/>
      </w:rPr>
      <w:t xml:space="preserve"> </w:t>
    </w:r>
    <w:r>
      <w:rPr>
        <w:sz w:val="28"/>
        <w:szCs w:val="28"/>
        <w:spacing w:val="-8"/>
      </w:rPr>
      <w:t>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132"/>
      <w:spacing w:line="187" w:lineRule="auto"/>
      <w:rPr>
        <w:sz w:val="28"/>
        <w:szCs w:val="28"/>
      </w:rPr>
    </w:pPr>
    <w:r>
      <w:rPr>
        <w:sz w:val="28"/>
        <w:szCs w:val="28"/>
        <w:spacing w:val="-1"/>
        <w:w w:val="97"/>
      </w:rPr>
      <w:t>—</w:t>
    </w:r>
    <w:r>
      <w:rPr>
        <w:sz w:val="28"/>
        <w:szCs w:val="28"/>
        <w:spacing w:val="71"/>
      </w:rPr>
      <w:t xml:space="preserve"> </w:t>
    </w:r>
    <w:r>
      <w:rPr>
        <w:sz w:val="28"/>
        <w:szCs w:val="28"/>
        <w:spacing w:val="-1"/>
        <w:w w:val="97"/>
      </w:rPr>
      <w:t>4</w:t>
    </w:r>
    <w:r>
      <w:rPr>
        <w:sz w:val="28"/>
        <w:szCs w:val="28"/>
        <w:spacing w:val="62"/>
        <w:w w:val="101"/>
      </w:rPr>
      <w:t xml:space="preserve"> </w:t>
    </w:r>
    <w:r>
      <w:rPr>
        <w:sz w:val="28"/>
        <w:szCs w:val="28"/>
        <w:spacing w:val="-1"/>
        <w:w w:val="97"/>
      </w:rPr>
      <w:t>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132"/>
      <w:spacing w:line="184" w:lineRule="auto"/>
      <w:rPr>
        <w:sz w:val="28"/>
        <w:szCs w:val="28"/>
      </w:rPr>
    </w:pPr>
    <w:r>
      <w:rPr>
        <w:sz w:val="28"/>
        <w:szCs w:val="28"/>
        <w:spacing w:val="-8"/>
      </w:rPr>
      <w:t>—</w:t>
    </w:r>
    <w:r>
      <w:rPr>
        <w:sz w:val="28"/>
        <w:szCs w:val="28"/>
        <w:spacing w:val="70"/>
        <w:w w:val="101"/>
      </w:rPr>
      <w:t xml:space="preserve"> </w:t>
    </w:r>
    <w:r>
      <w:rPr>
        <w:sz w:val="28"/>
        <w:szCs w:val="28"/>
        <w:spacing w:val="-8"/>
      </w:rPr>
      <w:t>5</w:t>
    </w:r>
    <w:r>
      <w:rPr>
        <w:sz w:val="28"/>
        <w:szCs w:val="28"/>
        <w:spacing w:val="62"/>
      </w:rPr>
      <w:t xml:space="preserve"> </w:t>
    </w:r>
    <w:r>
      <w:rPr>
        <w:sz w:val="28"/>
        <w:szCs w:val="28"/>
        <w:spacing w:val="-8"/>
      </w:rPr>
      <w:t>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132"/>
      <w:spacing w:before="1" w:line="187" w:lineRule="auto"/>
      <w:rPr>
        <w:sz w:val="28"/>
        <w:szCs w:val="28"/>
      </w:rPr>
    </w:pPr>
    <w:r>
      <w:rPr>
        <w:sz w:val="28"/>
        <w:szCs w:val="28"/>
        <w:spacing w:val="-7"/>
        <w:w w:val="99"/>
      </w:rPr>
      <w:t>—</w:t>
    </w:r>
    <w:r>
      <w:rPr>
        <w:sz w:val="28"/>
        <w:szCs w:val="28"/>
        <w:spacing w:val="75"/>
      </w:rPr>
      <w:t xml:space="preserve"> </w:t>
    </w:r>
    <w:r>
      <w:rPr>
        <w:sz w:val="28"/>
        <w:szCs w:val="28"/>
        <w:spacing w:val="-7"/>
        <w:w w:val="99"/>
      </w:rPr>
      <w:t>6</w:t>
    </w:r>
    <w:r>
      <w:rPr>
        <w:sz w:val="28"/>
        <w:szCs w:val="28"/>
        <w:spacing w:val="62"/>
      </w:rPr>
      <w:t xml:space="preserve"> </w:t>
    </w:r>
    <w:r>
      <w:rPr>
        <w:sz w:val="28"/>
        <w:szCs w:val="28"/>
        <w:spacing w:val="-7"/>
        <w:w w:val="99"/>
      </w:rPr>
      <w:t>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132"/>
      <w:spacing w:line="188" w:lineRule="auto"/>
      <w:rPr>
        <w:sz w:val="28"/>
        <w:szCs w:val="28"/>
      </w:rPr>
    </w:pPr>
    <w:r>
      <w:rPr>
        <w:sz w:val="28"/>
        <w:szCs w:val="28"/>
        <w:spacing w:val="-8"/>
      </w:rPr>
      <w:t>—</w:t>
    </w:r>
    <w:r>
      <w:rPr>
        <w:sz w:val="28"/>
        <w:szCs w:val="28"/>
        <w:spacing w:val="71"/>
      </w:rPr>
      <w:t xml:space="preserve"> </w:t>
    </w:r>
    <w:r>
      <w:rPr>
        <w:sz w:val="28"/>
        <w:szCs w:val="28"/>
        <w:spacing w:val="-8"/>
      </w:rPr>
      <w:t>7</w:t>
    </w:r>
    <w:r>
      <w:rPr>
        <w:sz w:val="28"/>
        <w:szCs w:val="28"/>
        <w:spacing w:val="62"/>
      </w:rPr>
      <w:t xml:space="preserve"> </w:t>
    </w:r>
    <w:r>
      <w:rPr>
        <w:sz w:val="28"/>
        <w:szCs w:val="28"/>
        <w:spacing w:val="-8"/>
      </w:rPr>
      <w:t>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132"/>
      <w:spacing w:before="1" w:line="187" w:lineRule="auto"/>
      <w:rPr>
        <w:sz w:val="28"/>
        <w:szCs w:val="28"/>
      </w:rPr>
    </w:pPr>
    <w:r>
      <w:rPr>
        <w:sz w:val="28"/>
        <w:szCs w:val="28"/>
        <w:spacing w:val="-8"/>
      </w:rPr>
      <w:t>—</w:t>
    </w:r>
    <w:r>
      <w:rPr>
        <w:sz w:val="28"/>
        <w:szCs w:val="28"/>
        <w:spacing w:val="70"/>
        <w:w w:val="101"/>
      </w:rPr>
      <w:t xml:space="preserve"> </w:t>
    </w:r>
    <w:r>
      <w:rPr>
        <w:sz w:val="28"/>
        <w:szCs w:val="28"/>
        <w:spacing w:val="-8"/>
      </w:rPr>
      <w:t>8</w:t>
    </w:r>
    <w:r>
      <w:rPr>
        <w:sz w:val="28"/>
        <w:szCs w:val="28"/>
        <w:spacing w:val="62"/>
      </w:rPr>
      <w:t xml:space="preserve"> </w:t>
    </w:r>
    <w:r>
      <w:rPr>
        <w:sz w:val="28"/>
        <w:szCs w:val="28"/>
        <w:spacing w:val="-8"/>
      </w:rPr>
      <w:t>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132"/>
      <w:spacing w:before="1" w:line="187" w:lineRule="auto"/>
      <w:rPr>
        <w:sz w:val="28"/>
        <w:szCs w:val="28"/>
      </w:rPr>
    </w:pPr>
    <w:r>
      <w:rPr>
        <w:sz w:val="28"/>
        <w:szCs w:val="28"/>
        <w:spacing w:val="-8"/>
      </w:rPr>
      <w:t>—</w:t>
    </w:r>
    <w:r>
      <w:rPr>
        <w:sz w:val="28"/>
        <w:szCs w:val="28"/>
        <w:spacing w:val="70"/>
        <w:w w:val="101"/>
      </w:rPr>
      <w:t xml:space="preserve"> </w:t>
    </w:r>
    <w:r>
      <w:rPr>
        <w:sz w:val="28"/>
        <w:szCs w:val="28"/>
        <w:spacing w:val="-8"/>
      </w:rPr>
      <w:t>9</w:t>
    </w:r>
    <w:r>
      <w:rPr>
        <w:sz w:val="28"/>
        <w:szCs w:val="28"/>
        <w:spacing w:val="62"/>
      </w:rPr>
      <w:t xml:space="preserve"> </w:t>
    </w:r>
    <w:r>
      <w:rPr>
        <w:sz w:val="28"/>
        <w:szCs w:val="28"/>
        <w:spacing w:val="-8"/>
      </w:rPr>
      <w:t>—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5" Type="http://schemas.openxmlformats.org/officeDocument/2006/relationships/fontTable" Target="fontTable.xml"/><Relationship Id="rId14" Type="http://schemas.openxmlformats.org/officeDocument/2006/relationships/styles" Target="styles.xml"/><Relationship Id="rId13" Type="http://schemas.openxmlformats.org/officeDocument/2006/relationships/settings" Target="settings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正文文件</dc:title>
  <dc:creator>RJeGov</dc:creator>
  <dcterms:created xsi:type="dcterms:W3CDTF">2024-01-31T10:23:10Z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2024-02-04T15:03:26</vt:filetime>
  </property>
</Properties>
</file>